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2D5C"/>
          <w:sz w:val="32"/>
        </w:rPr>
        <w:t>ARIZONA OBESITY ORGANIZATION</w:t>
      </w:r>
    </w:p>
    <w:p>
      <w:pPr>
        <w:jc w:val="center"/>
      </w:pPr>
      <w:r>
        <w:rPr>
          <w:i/>
          <w:color w:val="7A7268"/>
          <w:sz w:val="20"/>
        </w:rPr>
        <w:t>Treat or Refer  ·  501(c)(3) Nonprofit  ·  EIN 84-2524149</w:t>
      </w:r>
    </w:p>
    <w:p>
      <w:pPr>
        <w:jc w:val="center"/>
      </w:pPr>
      <w:r>
        <w:rPr>
          <w:color w:val="C25E37"/>
        </w:rPr>
        <w:t>──────────────────────────────</w:t>
      </w:r>
    </w:p>
    <w:p/>
    <w:p>
      <w:pPr>
        <w:jc w:val="center"/>
      </w:pPr>
      <w:r>
        <w:rPr>
          <w:b/>
          <w:color w:val="1A2D5C"/>
          <w:sz w:val="40"/>
        </w:rPr>
        <w:t>Conflict of Interest Policy &amp; Annual Acknowledgment</w:t>
      </w:r>
    </w:p>
    <w:p>
      <w:pPr>
        <w:spacing w:after="120"/>
        <w:jc w:val="center"/>
      </w:pPr>
      <w:r>
        <w:rPr>
          <w:b w:val="0"/>
          <w:i/>
          <w:sz w:val="20"/>
        </w:rPr>
        <w:t>For directors, officers, key employees, and committee members</w:t>
      </w:r>
    </w:p>
    <w:p/>
    <w:p>
      <w:r>
        <w:rPr>
          <w:b/>
        </w:rPr>
        <w:t xml:space="preserve">Date: </w:t>
      </w:r>
      <w:r>
        <w:t>__________________________</w:t>
      </w:r>
    </w:p>
    <w:p/>
    <w:p>
      <w:pPr>
        <w:spacing w:after="120"/>
      </w:pPr>
      <w:r>
        <w:rPr>
          <w:b w:val="0"/>
          <w:i w:val="0"/>
          <w:sz w:val="22"/>
        </w:rPr>
        <w:t>Dear AOO Board Member,</w:t>
      </w:r>
    </w:p>
    <w:p/>
    <w:p>
      <w:pPr>
        <w:spacing w:after="120"/>
      </w:pPr>
      <w:r>
        <w:rPr>
          <w:b w:val="0"/>
          <w:i w:val="0"/>
          <w:sz w:val="22"/>
        </w:rPr>
        <w:t>Thank you for the time and expertise you give to the Arizona Obesity Organization. This letter accompanies AOO's Conflict of Interest Policy, which the Board adopts and re-adopts annually as part of our governance commitment to the public, our funders, our members, and the patients we serve.</w:t>
      </w:r>
    </w:p>
    <w:p>
      <w:pPr>
        <w:spacing w:after="120"/>
      </w:pPr>
      <w:r>
        <w:rPr>
          <w:b w:val="0"/>
          <w:i w:val="0"/>
          <w:sz w:val="22"/>
        </w:rPr>
        <w:t>AOO operates at the intersection of clinical care, policy advocacy, and pharmaceutical industry funding. Each of those domains carries its own conflict-of-interest expectations — and the combination of all three is exactly why a clear, written policy matters. Our credibility as an evidence-based advocacy organization depends on being able to demonstrate, at any moment, that our decisions are made in the interest of AOO's mission and the Arizonans we serve — not in the financial interest of any director, officer, member, vendor, or funder.</w:t>
      </w:r>
    </w:p>
    <w:p>
      <w:pPr>
        <w:spacing w:after="120"/>
      </w:pPr>
      <w:r>
        <w:rPr>
          <w:b w:val="0"/>
          <w:i w:val="0"/>
          <w:sz w:val="22"/>
        </w:rPr>
        <w:t>Please read the policy in full, complete the disclosure section on the last page, and return the signed acknowledgment to the Secretary. If you have any questions, or if a potential conflict arises mid-year that you'd like to discuss before formally disclosing, contact me directly.</w:t>
      </w:r>
    </w:p>
    <w:p>
      <w:pPr>
        <w:spacing w:after="120"/>
      </w:pPr>
      <w:r>
        <w:rPr>
          <w:b w:val="0"/>
          <w:i w:val="0"/>
          <w:sz w:val="22"/>
        </w:rPr>
        <w:t>With gratitude for your service,</w:t>
      </w:r>
    </w:p>
    <w:p/>
    <w:p/>
    <w:p>
      <w:r>
        <w:rPr>
          <w:b/>
        </w:rPr>
        <w:t>Douglas Maready, MD</w:t>
      </w:r>
      <w:r>
        <w:br/>
        <w:t>President, Arizona Obesity Organization</w:t>
        <w:br/>
        <w:t>doctordoug@dougmareadymd.com</w:t>
      </w:r>
    </w:p>
    <w:p>
      <w:r>
        <w:br w:type="page"/>
      </w:r>
    </w:p>
    <w:p>
      <w:pPr>
        <w:jc w:val="center"/>
      </w:pPr>
      <w:r>
        <w:rPr>
          <w:b/>
          <w:color w:val="1A2D5C"/>
          <w:sz w:val="40"/>
        </w:rPr>
        <w:t>CONFLICT OF INTEREST POLICY</w:t>
      </w:r>
    </w:p>
    <w:p>
      <w:pPr>
        <w:spacing w:after="120"/>
        <w:jc w:val="center"/>
      </w:pPr>
      <w:r>
        <w:rPr>
          <w:b w:val="0"/>
          <w:i/>
          <w:sz w:val="22"/>
        </w:rPr>
        <w:t>Arizona Obesity Organization</w:t>
      </w:r>
    </w:p>
    <w:p/>
    <w:p>
      <w:r>
        <w:rPr>
          <w:b/>
          <w:color w:val="1A2D5C"/>
          <w:sz w:val="28"/>
        </w:rPr>
        <w:t>Article I — Purpose</w:t>
      </w:r>
    </w:p>
    <w:p>
      <w:pPr>
        <w:spacing w:after="120"/>
      </w:pPr>
      <w:r>
        <w:rPr>
          <w:b w:val="0"/>
          <w:i w:val="0"/>
          <w:sz w:val="22"/>
        </w:rPr>
        <w:t>The purpose of this Conflict of Interest Policy is to protect the interests of the Arizona Obesity Organization ("AOO") when it is contemplating entering into a transaction or arrangement that might benefit the private interest of an officer, director, member, committee member, employee, or volunteer of AOO, or might result in a possible excess benefit transaction. This policy is intended to supplement but not replace any applicable state and federal laws governing conflict of interest applicable to nonprofit and charitable corporations.</w:t>
      </w:r>
    </w:p>
    <w:p>
      <w:r>
        <w:rPr>
          <w:b/>
          <w:color w:val="1A2D5C"/>
          <w:sz w:val="28"/>
        </w:rPr>
        <w:t>Article II — Definitions</w:t>
      </w:r>
    </w:p>
    <w:p>
      <w:pPr>
        <w:spacing w:after="40"/>
      </w:pPr>
      <w:r>
        <w:rPr>
          <w:b/>
          <w:i w:val="0"/>
          <w:sz w:val="22"/>
        </w:rPr>
        <w:t>1. Interested Person.</w:t>
      </w:r>
    </w:p>
    <w:p>
      <w:pPr>
        <w:spacing w:after="120"/>
      </w:pPr>
      <w:r>
        <w:rPr>
          <w:b w:val="0"/>
          <w:i w:val="0"/>
          <w:sz w:val="22"/>
        </w:rPr>
        <w:t>Any director, principal officer, member of a committee with governing-board delegated powers, or key employee who has a direct or indirect financial interest, as defined below, is an "interested person."</w:t>
      </w:r>
    </w:p>
    <w:p>
      <w:pPr>
        <w:spacing w:after="40"/>
      </w:pPr>
      <w:r>
        <w:rPr>
          <w:b/>
          <w:i w:val="0"/>
          <w:sz w:val="22"/>
        </w:rPr>
        <w:t>2. Financial Interest.</w:t>
      </w:r>
    </w:p>
    <w:p>
      <w:pPr>
        <w:spacing w:after="120"/>
      </w:pPr>
      <w:r>
        <w:rPr>
          <w:b w:val="0"/>
          <w:i w:val="0"/>
          <w:sz w:val="22"/>
        </w:rPr>
        <w:t>A person has a financial interest if the person has, directly or indirectly, through business, investment, or family:</w:t>
      </w:r>
    </w:p>
    <w:p>
      <w:pPr>
        <w:pStyle w:val="ListBullet"/>
      </w:pPr>
      <w:r>
        <w:rPr>
          <w:sz w:val="22"/>
        </w:rPr>
        <w:t>An ownership or investment interest in any entity with which AOO has a transaction or arrangement;</w:t>
      </w:r>
    </w:p>
    <w:p>
      <w:pPr>
        <w:pStyle w:val="ListBullet"/>
      </w:pPr>
      <w:r>
        <w:rPr>
          <w:sz w:val="22"/>
        </w:rPr>
        <w:t>A compensation arrangement with AOO or with any entity or individual with which AOO has a transaction or arrangement; or</w:t>
      </w:r>
    </w:p>
    <w:p>
      <w:pPr>
        <w:pStyle w:val="ListBullet"/>
      </w:pPr>
      <w:r>
        <w:rPr>
          <w:sz w:val="22"/>
        </w:rPr>
        <w:t>A potential ownership, investment interest, or compensation arrangement with any entity or individual with which AOO is negotiating a transaction or arrangement.</w:t>
      </w:r>
    </w:p>
    <w:p>
      <w:pPr>
        <w:spacing w:after="120"/>
      </w:pPr>
      <w:r>
        <w:rPr>
          <w:b w:val="0"/>
          <w:i w:val="0"/>
          <w:sz w:val="22"/>
        </w:rPr>
        <w:t>Compensation includes direct and indirect remuneration as well as gifts or favors that are not insubstantial. A financial interest is not necessarily a conflict of interest. A person who has a financial interest may have a conflict of interest only if the Board or appropriate committee decides that a conflict of interest exists.</w:t>
      </w:r>
    </w:p>
    <w:p>
      <w:pPr>
        <w:spacing w:after="40"/>
      </w:pPr>
      <w:r>
        <w:rPr>
          <w:b/>
          <w:i w:val="0"/>
          <w:sz w:val="22"/>
        </w:rPr>
        <w:t>3. Industry Funding Interest.</w:t>
      </w:r>
    </w:p>
    <w:p>
      <w:pPr>
        <w:spacing w:after="120"/>
      </w:pPr>
      <w:r>
        <w:rPr>
          <w:b w:val="0"/>
          <w:i w:val="0"/>
          <w:sz w:val="22"/>
        </w:rPr>
        <w:t>Because AOO accepts sponsored research grants, educational grants, and project sponsorships from pharmaceutical companies and other healthcare-industry entities, an interested person also has a financial interest if they have received, within the prior twelve (12) months, speaker honoraria, consulting fees, research grants, or any other direct or indirect compensation from a company that funds AOO's work or whose products are within AOO's scope of policy advocacy.</w:t>
      </w:r>
    </w:p>
    <w:p>
      <w:r>
        <w:rPr>
          <w:b/>
          <w:color w:val="1A2D5C"/>
          <w:sz w:val="28"/>
        </w:rPr>
        <w:t>Article III — Procedures</w:t>
      </w:r>
    </w:p>
    <w:p>
      <w:pPr>
        <w:spacing w:after="40"/>
      </w:pPr>
      <w:r>
        <w:rPr>
          <w:b/>
          <w:i w:val="0"/>
          <w:sz w:val="22"/>
        </w:rPr>
        <w:t>1. Duty to Disclose.</w:t>
      </w:r>
    </w:p>
    <w:p>
      <w:pPr>
        <w:spacing w:after="120"/>
      </w:pPr>
      <w:r>
        <w:rPr>
          <w:b w:val="0"/>
          <w:i w:val="0"/>
          <w:sz w:val="22"/>
        </w:rPr>
        <w:t>In connection with any actual or possible conflict of interest, an interested person must disclose the existence of the financial interest and be given the opportunity to disclose all material facts to the directors and members of committees with governing-board-delegated powers considering the proposed transaction or arrangement.</w:t>
      </w:r>
    </w:p>
    <w:p>
      <w:pPr>
        <w:spacing w:after="40"/>
      </w:pPr>
      <w:r>
        <w:rPr>
          <w:b/>
          <w:i w:val="0"/>
          <w:sz w:val="22"/>
        </w:rPr>
        <w:t>2. Determining Whether a Conflict of Interest Exists.</w:t>
      </w:r>
    </w:p>
    <w:p>
      <w:pPr>
        <w:spacing w:after="120"/>
      </w:pPr>
      <w:r>
        <w:rPr>
          <w:b w:val="0"/>
          <w:i w:val="0"/>
          <w:sz w:val="22"/>
        </w:rPr>
        <w:t>After disclosure of the financial interest and all material facts, and after any discussion with the interested person, the interested person shall leave the Board or committee meeting while the determination of a conflict of interest is discussed and voted upon. The remaining Board or committee members shall decide if a conflict of interest exists.</w:t>
      </w:r>
    </w:p>
    <w:p>
      <w:pPr>
        <w:spacing w:after="40"/>
      </w:pPr>
      <w:r>
        <w:rPr>
          <w:b/>
          <w:i w:val="0"/>
          <w:sz w:val="22"/>
        </w:rPr>
        <w:t>3. Procedures for Addressing the Conflict of Interest.</w:t>
      </w:r>
    </w:p>
    <w:p>
      <w:pPr>
        <w:pStyle w:val="ListBullet"/>
      </w:pPr>
      <w:r>
        <w:rPr>
          <w:sz w:val="22"/>
        </w:rPr>
        <w:t>An interested person may make a presentation at the Board or committee meeting, but after the presentation, they shall leave the meeting during the discussion of, and the vote on, the transaction or arrangement involving the possible conflict of interest.</w:t>
      </w:r>
    </w:p>
    <w:p>
      <w:pPr>
        <w:pStyle w:val="ListBullet"/>
      </w:pPr>
      <w:r>
        <w:rPr>
          <w:sz w:val="22"/>
        </w:rPr>
        <w:t>The President shall, if appropriate, appoint a disinterested person or committee to investigate alternatives to the proposed transaction or arrangement.</w:t>
      </w:r>
    </w:p>
    <w:p>
      <w:pPr>
        <w:pStyle w:val="ListBullet"/>
      </w:pPr>
      <w:r>
        <w:rPr>
          <w:sz w:val="22"/>
        </w:rPr>
        <w:t>After exercising due diligence, the Board or committee shall determine whether AOO can obtain with reasonable efforts a more advantageous transaction or arrangement from a person or entity that would not give rise to a conflict of interest.</w:t>
      </w:r>
    </w:p>
    <w:p>
      <w:pPr>
        <w:pStyle w:val="ListBullet"/>
      </w:pPr>
      <w:r>
        <w:rPr>
          <w:sz w:val="22"/>
        </w:rPr>
        <w:t>If a more advantageous transaction or arrangement is not reasonably possible under circumstances not producing a conflict of interest, the Board or committee shall determine by a majority vote of the disinterested directors whether the transaction or arrangement is in AOO's best interest, for its own benefit, and whether it is fair and reasonable. In conformity with this determination, the Board or committee shall make its decision as to whether to enter into the transaction or arrangement.</w:t>
      </w:r>
    </w:p>
    <w:p>
      <w:pPr>
        <w:spacing w:after="40"/>
      </w:pPr>
      <w:r>
        <w:rPr>
          <w:b/>
          <w:i w:val="0"/>
          <w:sz w:val="22"/>
        </w:rPr>
        <w:t>4. Violations of the Conflict of Interest Policy.</w:t>
      </w:r>
    </w:p>
    <w:p>
      <w:pPr>
        <w:pStyle w:val="ListBullet"/>
      </w:pPr>
      <w:r>
        <w:rPr>
          <w:sz w:val="22"/>
        </w:rPr>
        <w:t>If the Board or committee has reasonable cause to believe a member has failed to disclose actual or possible conflicts of interest, it shall inform the member of the basis for such belief and afford the member an opportunity to explain the alleged failure to disclose.</w:t>
      </w:r>
    </w:p>
    <w:p>
      <w:pPr>
        <w:pStyle w:val="ListBullet"/>
      </w:pPr>
      <w:r>
        <w:rPr>
          <w:sz w:val="22"/>
        </w:rPr>
        <w:t>If, after hearing the member's response and after making further investigation as warranted by the circumstances, the Board or committee determines the member has failed to disclose an actual or possible conflict of interest, it shall take appropriate disciplinary and corrective action.</w:t>
      </w:r>
    </w:p>
    <w:p>
      <w:r>
        <w:rPr>
          <w:b/>
          <w:color w:val="1A2D5C"/>
          <w:sz w:val="28"/>
        </w:rPr>
        <w:t>Article IV — Records of Proceedings</w:t>
      </w:r>
    </w:p>
    <w:p>
      <w:pPr>
        <w:spacing w:after="120"/>
      </w:pPr>
      <w:r>
        <w:rPr>
          <w:b w:val="0"/>
          <w:i w:val="0"/>
          <w:sz w:val="22"/>
        </w:rPr>
        <w:t>The minutes of the Board and all committees with Board-delegated powers shall contain:</w:t>
      </w:r>
    </w:p>
    <w:p>
      <w:pPr>
        <w:pStyle w:val="ListBullet"/>
      </w:pPr>
      <w:r>
        <w:rPr>
          <w:sz w:val="22"/>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pPr>
        <w:pStyle w:val="ListBullet"/>
      </w:pPr>
      <w:r>
        <w:rPr>
          <w:sz w:val="22"/>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
        <w:rPr>
          <w:b/>
          <w:color w:val="1A2D5C"/>
          <w:sz w:val="28"/>
        </w:rPr>
        <w:t>Article V — Compensation</w:t>
      </w:r>
    </w:p>
    <w:p>
      <w:pPr>
        <w:pStyle w:val="ListBullet"/>
      </w:pPr>
      <w:r>
        <w:rPr>
          <w:sz w:val="22"/>
        </w:rPr>
        <w:t>A voting member of the Board who receives compensation, directly or indirectly, from AOO for services is precluded from voting on matters pertaining to that member's compensation.</w:t>
      </w:r>
    </w:p>
    <w:p>
      <w:pPr>
        <w:pStyle w:val="ListBullet"/>
      </w:pPr>
      <w:r>
        <w:rPr>
          <w:sz w:val="22"/>
        </w:rPr>
        <w:t>A voting member of any committee whose jurisdiction includes compensation matters and who receives compensation, directly or indirectly, from AOO for services is precluded from voting on matters pertaining to that member's compensation.</w:t>
      </w:r>
    </w:p>
    <w:p>
      <w:pPr>
        <w:pStyle w:val="ListBullet"/>
      </w:pPr>
      <w:r>
        <w:rPr>
          <w:sz w:val="22"/>
        </w:rPr>
        <w:t>No voting member of the Board or any committee whose jurisdiction includes compensation matters and who receives compensation, directly or indirectly, from AOO, either individually or collectively, is prohibited from providing information to any committee regarding compensation.</w:t>
      </w:r>
    </w:p>
    <w:p>
      <w:r>
        <w:rPr>
          <w:b/>
          <w:color w:val="1A2D5C"/>
          <w:sz w:val="28"/>
        </w:rPr>
        <w:t>Article VI — Annual Statements</w:t>
      </w:r>
    </w:p>
    <w:p>
      <w:pPr>
        <w:spacing w:after="120"/>
      </w:pPr>
      <w:r>
        <w:rPr>
          <w:b w:val="0"/>
          <w:i w:val="0"/>
          <w:sz w:val="22"/>
        </w:rPr>
        <w:t>Each director, principal officer, and member of a committee with governing-board-delegated powers shall annually sign a statement which affirms such person:</w:t>
      </w:r>
    </w:p>
    <w:p>
      <w:pPr>
        <w:pStyle w:val="ListBullet"/>
      </w:pPr>
      <w:r>
        <w:rPr>
          <w:sz w:val="22"/>
        </w:rPr>
        <w:t>Has received a copy of the Conflict of Interest Policy;</w:t>
      </w:r>
    </w:p>
    <w:p>
      <w:pPr>
        <w:pStyle w:val="ListBullet"/>
      </w:pPr>
      <w:r>
        <w:rPr>
          <w:sz w:val="22"/>
        </w:rPr>
        <w:t>Has read and understands the Policy;</w:t>
      </w:r>
    </w:p>
    <w:p>
      <w:pPr>
        <w:pStyle w:val="ListBullet"/>
      </w:pPr>
      <w:r>
        <w:rPr>
          <w:sz w:val="22"/>
        </w:rPr>
        <w:t>Has agreed to comply with the Policy; and</w:t>
      </w:r>
    </w:p>
    <w:p>
      <w:pPr>
        <w:pStyle w:val="ListBullet"/>
      </w:pPr>
      <w:r>
        <w:rPr>
          <w:sz w:val="22"/>
        </w:rPr>
        <w:t>Understands AOO is charitable and in order to maintain its federal tax exemption it must engage primarily in activities which accomplish one or more of its tax-exempt purposes.</w:t>
      </w:r>
    </w:p>
    <w:p>
      <w:r>
        <w:rPr>
          <w:b/>
          <w:color w:val="1A2D5C"/>
          <w:sz w:val="28"/>
        </w:rPr>
        <w:t>Article VII — Periodic Reviews</w:t>
      </w:r>
    </w:p>
    <w:p>
      <w:pPr>
        <w:spacing w:after="120"/>
      </w:pPr>
      <w:r>
        <w:rPr>
          <w:b w:val="0"/>
          <w:i w:val="0"/>
          <w:sz w:val="22"/>
        </w:rPr>
        <w:t>To ensure AOO operates in a manner consistent with charitable purposes and does not engage in activities that could jeopardize its tax-exempt status, periodic reviews shall be conducted. The periodic reviews shall, at a minimum, include the following subjects:</w:t>
      </w:r>
    </w:p>
    <w:p>
      <w:pPr>
        <w:pStyle w:val="ListBullet"/>
      </w:pPr>
      <w:r>
        <w:rPr>
          <w:sz w:val="22"/>
        </w:rPr>
        <w:t>Whether compensation arrangements and benefits are reasonable, based on competent survey information, and the result of arm's-length bargaining.</w:t>
      </w:r>
    </w:p>
    <w:p>
      <w:pPr>
        <w:pStyle w:val="ListBullet"/>
      </w:pPr>
      <w:r>
        <w:rPr>
          <w:sz w:val="22"/>
        </w:rPr>
        <w:t>Whether partnerships, joint ventures, and arrangements with management organizations conform to AOO's written policies, are properly recorded, reflect reasonable investment or payments for goods and services, further charitable purposes, and do not result in inurement, impermissible private benefit, or in an excess benefit transaction.</w:t>
      </w:r>
    </w:p>
    <w:p>
      <w:pPr>
        <w:pStyle w:val="ListBullet"/>
      </w:pPr>
      <w:r>
        <w:rPr>
          <w:sz w:val="22"/>
        </w:rPr>
        <w:t>Whether AOO's sponsored research grants, educational grants, and project sponsorships from healthcare-industry funders maintain AOO's editorial independence and do not compromise the integrity of its policy work, white papers, or member-facing education.</w:t>
      </w:r>
    </w:p>
    <w:p>
      <w:r>
        <w:rPr>
          <w:b/>
          <w:color w:val="1A2D5C"/>
          <w:sz w:val="28"/>
        </w:rPr>
        <w:t>Article VIII — Use of Outside Experts</w:t>
      </w:r>
    </w:p>
    <w:p>
      <w:pPr>
        <w:spacing w:after="120"/>
      </w:pPr>
      <w:r>
        <w:rPr>
          <w:b w:val="0"/>
          <w:i w:val="0"/>
          <w:sz w:val="22"/>
        </w:rPr>
        <w:t>When conducting the periodic reviews as provided for in Article VII, AOO may, but need not, use outside advisors. If outside experts are used, their use shall not relieve the Board of its responsibility for ensuring periodic reviews are conducted.</w:t>
      </w:r>
    </w:p>
    <w:p>
      <w:r>
        <w:rPr>
          <w:b/>
          <w:color w:val="1A2D5C"/>
          <w:sz w:val="28"/>
        </w:rPr>
        <w:t>Article IX — AOO-Specific Provisions</w:t>
      </w:r>
    </w:p>
    <w:p>
      <w:pPr>
        <w:spacing w:after="120"/>
      </w:pPr>
      <w:r>
        <w:rPr>
          <w:b w:val="0"/>
          <w:i w:val="0"/>
          <w:sz w:val="22"/>
        </w:rPr>
        <w:t>In recognition of AOO's unique position as a pharmaceutical-industry-funded advocacy organization, the following additional provisions apply:</w:t>
      </w:r>
    </w:p>
    <w:p>
      <w:pPr>
        <w:spacing w:after="40"/>
      </w:pPr>
      <w:r>
        <w:rPr>
          <w:b/>
          <w:i w:val="0"/>
          <w:sz w:val="22"/>
        </w:rPr>
        <w:t>1. Editorial Independence on AOO Publications.</w:t>
      </w:r>
    </w:p>
    <w:p>
      <w:pPr>
        <w:spacing w:after="120"/>
      </w:pPr>
      <w:r>
        <w:rPr>
          <w:b w:val="0"/>
          <w:i w:val="0"/>
          <w:sz w:val="22"/>
        </w:rPr>
        <w:t>All AOO white papers, policy briefs, position statements, and member-facing educational materials shall be developed under AOO's editorial control. Funders of these works shall have no role in source selection, framing, analysis, drafting, peer review, or final approval. This independence shall be disclosed in the publication itself.</w:t>
      </w:r>
    </w:p>
    <w:p>
      <w:pPr>
        <w:spacing w:after="40"/>
      </w:pPr>
      <w:r>
        <w:rPr>
          <w:b/>
          <w:i w:val="0"/>
          <w:sz w:val="22"/>
        </w:rPr>
        <w:t>2. Speaker Honoraria &amp; External Compensation.</w:t>
      </w:r>
    </w:p>
    <w:p>
      <w:pPr>
        <w:spacing w:after="120"/>
      </w:pPr>
      <w:r>
        <w:rPr>
          <w:b w:val="0"/>
          <w:i w:val="0"/>
          <w:sz w:val="22"/>
        </w:rPr>
        <w:t>Directors and officers shall disclose to the Board, as part of their annual statement, all speaker honoraria, consulting fees, advisory board compensation, research grants, and similar payments received from healthcare-industry entities within the preceding twelve (12) months. These disclosures shall be summarized in AOO publications when relevant to the subject matter.</w:t>
      </w:r>
    </w:p>
    <w:p>
      <w:pPr>
        <w:spacing w:after="40"/>
      </w:pPr>
      <w:r>
        <w:rPr>
          <w:b/>
          <w:i w:val="0"/>
          <w:sz w:val="22"/>
        </w:rPr>
        <w:t>3. Recusal on Funded-Topic Votes.</w:t>
      </w:r>
    </w:p>
    <w:p>
      <w:pPr>
        <w:spacing w:after="120"/>
      </w:pPr>
      <w:r>
        <w:rPr>
          <w:b w:val="0"/>
          <w:i w:val="0"/>
          <w:sz w:val="22"/>
        </w:rPr>
        <w:t>A director who has received compensation from a funder whose product or interest is the direct subject of a Board vote shall disclose the relationship and may, at the discretion of the Board, be required to recuse from the vote.</w:t>
      </w:r>
    </w:p>
    <w:p>
      <w:pPr>
        <w:spacing w:after="40"/>
      </w:pPr>
      <w:r>
        <w:rPr>
          <w:b/>
          <w:i w:val="0"/>
          <w:sz w:val="22"/>
        </w:rPr>
        <w:t>4. Public Disclosure of Funders.</w:t>
      </w:r>
    </w:p>
    <w:p>
      <w:pPr>
        <w:spacing w:after="120"/>
      </w:pPr>
      <w:r>
        <w:rPr>
          <w:b w:val="0"/>
          <w:i w:val="0"/>
          <w:sz w:val="22"/>
        </w:rPr>
        <w:t>AOO shall publicly disclose all funders of its policy and advocacy work on its website and in relevant publications, with funding categorized by tier (e.g., major funder, project sponsor). This disclosure shall be reviewed and updated at least annually.</w:t>
      </w:r>
    </w:p>
    <w:p>
      <w:r>
        <w:br w:type="page"/>
      </w:r>
    </w:p>
    <w:p>
      <w:pPr>
        <w:jc w:val="center"/>
      </w:pPr>
      <w:r>
        <w:rPr>
          <w:b/>
          <w:color w:val="1A2D5C"/>
          <w:sz w:val="40"/>
        </w:rPr>
        <w:t>ANNUAL ACKNOWLEDGMENT &amp; DISCLOSURE</w:t>
      </w:r>
    </w:p>
    <w:p>
      <w:pPr>
        <w:spacing w:after="120"/>
        <w:jc w:val="center"/>
      </w:pPr>
      <w:r>
        <w:rPr>
          <w:b w:val="0"/>
          <w:i/>
          <w:sz w:val="22"/>
        </w:rPr>
        <w:t>To be signed and returned to the Secretary annually</w:t>
      </w:r>
    </w:p>
    <w:p/>
    <w:p>
      <w:pPr>
        <w:spacing w:after="120"/>
      </w:pPr>
      <w:r>
        <w:rPr>
          <w:b w:val="0"/>
          <w:i w:val="0"/>
          <w:sz w:val="22"/>
        </w:rPr>
        <w:t>I, the undersigned, am a director, officer, committee member, or key employee of the Arizona Obesity Organization. By signing below, I affirm the following:</w:t>
      </w:r>
    </w:p>
    <w:p>
      <w:pPr>
        <w:pStyle w:val="ListBullet"/>
      </w:pPr>
      <w:r>
        <w:rPr>
          <w:sz w:val="22"/>
        </w:rPr>
        <w:t>I have received a copy of the AOO Conflict of Interest Policy.</w:t>
      </w:r>
    </w:p>
    <w:p>
      <w:pPr>
        <w:pStyle w:val="ListBullet"/>
      </w:pPr>
      <w:r>
        <w:rPr>
          <w:sz w:val="22"/>
        </w:rPr>
        <w:t>I have read and understand the Policy.</w:t>
      </w:r>
    </w:p>
    <w:p>
      <w:pPr>
        <w:pStyle w:val="ListBullet"/>
      </w:pPr>
      <w:r>
        <w:rPr>
          <w:sz w:val="22"/>
        </w:rPr>
        <w:t>I agree to comply with the Policy.</w:t>
      </w:r>
    </w:p>
    <w:p>
      <w:pPr>
        <w:pStyle w:val="ListBullet"/>
      </w:pPr>
      <w:r>
        <w:rPr>
          <w:sz w:val="22"/>
        </w:rPr>
        <w:t>I understand that AOO is a 501(c)(3) charitable organization and that in order to maintain its federal tax exemption it must engage primarily in activities that accomplish one or more of its tax-exempt purposes.</w:t>
      </w:r>
    </w:p>
    <w:p/>
    <w:p>
      <w:r>
        <w:rPr>
          <w:b/>
          <w:color w:val="1A2D5C"/>
          <w:sz w:val="28"/>
        </w:rPr>
        <w:t>Disclosure of Financial Interests &amp; Industry Relationships</w:t>
      </w:r>
    </w:p>
    <w:p>
      <w:pPr>
        <w:spacing w:after="120"/>
      </w:pPr>
      <w:r>
        <w:rPr>
          <w:b w:val="0"/>
          <w:i w:val="0"/>
          <w:sz w:val="22"/>
        </w:rPr>
        <w:t>Please disclose below any financial interests, industry relationships, or potential conflicts that should be considered under this Policy. Use additional sheets if needed.</w:t>
      </w:r>
    </w:p>
    <w:p>
      <w:pPr>
        <w:spacing w:after="40"/>
      </w:pPr>
      <w:r>
        <w:rPr>
          <w:b/>
          <w:i w:val="0"/>
          <w:sz w:val="22"/>
        </w:rPr>
        <w:t>1. Speaker honoraria, consulting fees, or advisory-board compensation received from healthcare-industry entities within the prior 12 months:</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
      <w:pPr>
        <w:spacing w:after="40"/>
      </w:pPr>
      <w:r>
        <w:rPr>
          <w:b/>
          <w:i w:val="0"/>
          <w:sz w:val="22"/>
        </w:rPr>
        <w:t>2. Research grants or sponsored work received from healthcare-industry entities within the prior 12 months:</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
      <w:pPr>
        <w:spacing w:after="40"/>
      </w:pPr>
      <w:r>
        <w:rPr>
          <w:b/>
          <w:i w:val="0"/>
          <w:sz w:val="22"/>
        </w:rPr>
        <w:t>3. Other financial interests, board memberships, or relationships that could reasonably be perceived as a conflict with AOO's work:</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
      <w:pPr>
        <w:spacing w:after="40"/>
      </w:pPr>
      <w:r>
        <w:rPr>
          <w:b/>
          <w:i w:val="0"/>
          <w:sz w:val="22"/>
        </w:rPr>
        <w:t>4. Any anticipated transactions or arrangements between AOO and an entity in which I have a financial interest:</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Pr>
        <w:spacing w:after="120"/>
      </w:pPr>
      <w:r>
        <w:rPr>
          <w:b w:val="0"/>
          <w:i w:val="0"/>
          <w:sz w:val="22"/>
        </w:rPr>
        <w:t>____________________________________________________________________________</w:t>
      </w:r>
    </w:p>
    <w:p/>
    <w:p/>
    <w:p>
      <w:r>
        <w:rPr>
          <w:b/>
        </w:rPr>
        <w:t xml:space="preserve">Signature: </w:t>
      </w:r>
      <w:r>
        <w:t xml:space="preserve">________________________________________     </w:t>
      </w:r>
      <w:r>
        <w:rPr>
          <w:b/>
        </w:rPr>
        <w:t xml:space="preserve">Date: </w:t>
      </w:r>
      <w:r>
        <w:t>__________________</w:t>
      </w:r>
    </w:p>
    <w:p/>
    <w:p>
      <w:r>
        <w:rPr>
          <w:b/>
        </w:rPr>
        <w:t xml:space="preserve">Printed Name: </w:t>
      </w:r>
      <w:r>
        <w:t>____________________________________________________</w:t>
      </w:r>
    </w:p>
    <w:p/>
    <w:p>
      <w:r>
        <w:rPr>
          <w:b/>
        </w:rPr>
        <w:t xml:space="preserve">Role / Title at AOO: </w:t>
      </w:r>
      <w:r>
        <w:t>_____________________________________________</w:t>
      </w:r>
    </w:p>
    <w:p/>
    <w:p/>
    <w:p>
      <w:pPr>
        <w:jc w:val="center"/>
      </w:pPr>
      <w:r>
        <w:rPr>
          <w:i/>
          <w:color w:val="7A7268"/>
          <w:sz w:val="18"/>
        </w:rPr>
        <w:t>Approved by the AOO Board of Directors: ______________________  ·  Revision date: ______________________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